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6854" w:rsidRDefault="00806854" w:rsidP="00806854">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806854" w:rsidRPr="00FA7D7A" w:rsidRDefault="00806854" w:rsidP="00806854">
      <w:pPr>
        <w:ind w:leftChars="85" w:left="178"/>
      </w:pPr>
      <w:r w:rsidRPr="00FA7D7A">
        <w:t>（内部統制報告書に係る賠償責任に関する読替え）</w:t>
      </w:r>
    </w:p>
    <w:p w:rsidR="00806854" w:rsidRPr="00FA7D7A" w:rsidRDefault="00806854" w:rsidP="00806854">
      <w:pPr>
        <w:ind w:left="179" w:hangingChars="85" w:hanging="179"/>
      </w:pPr>
      <w:r w:rsidRPr="00FA7D7A">
        <w:rPr>
          <w:b/>
          <w:bCs/>
        </w:rPr>
        <w:t>第四条の二の九</w:t>
      </w:r>
      <w:r w:rsidRPr="00FA7D7A">
        <w:t xml:space="preserve">　法第二十四条の四の六（法第二十七条において準用する場合を含む。以下この条において同じ。）において内部統制報告書（その訂正報告書を含む。）のうちに重要な事項について虚偽の記載があり、又は記載すべき重要な事項若しくは誤解を生じさせないために必要な重要な事実の記載が欠けている場合について法の規定を準用する場合における法第二十四条の四の六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806854" w:rsidTr="00D23B5D">
        <w:tblPrEx>
          <w:tblCellMar>
            <w:top w:w="0" w:type="dxa"/>
            <w:bottom w:w="0" w:type="dxa"/>
          </w:tblCellMar>
        </w:tblPrEx>
        <w:trPr>
          <w:trHeight w:val="180"/>
        </w:trPr>
        <w:tc>
          <w:tcPr>
            <w:tcW w:w="2760" w:type="dxa"/>
          </w:tcPr>
          <w:p w:rsidR="00806854" w:rsidRPr="00FA7D7A" w:rsidRDefault="00806854" w:rsidP="00D23B5D">
            <w:r w:rsidRPr="00FA7D7A">
              <w:t>読み替える法の規定</w:t>
            </w:r>
          </w:p>
        </w:tc>
        <w:tc>
          <w:tcPr>
            <w:tcW w:w="2760" w:type="dxa"/>
          </w:tcPr>
          <w:p w:rsidR="00806854" w:rsidRPr="00FA7D7A" w:rsidRDefault="00806854" w:rsidP="00D23B5D">
            <w:r w:rsidRPr="00FA7D7A">
              <w:t>読み替えられる字句</w:t>
            </w:r>
          </w:p>
        </w:tc>
        <w:tc>
          <w:tcPr>
            <w:tcW w:w="2760" w:type="dxa"/>
          </w:tcPr>
          <w:p w:rsidR="00806854" w:rsidRPr="00FA7D7A" w:rsidRDefault="00806854" w:rsidP="00D23B5D">
            <w:r w:rsidRPr="00FA7D7A">
              <w:t>読み替える字句</w:t>
            </w:r>
          </w:p>
        </w:tc>
      </w:tr>
      <w:tr w:rsidR="00806854" w:rsidTr="00D23B5D">
        <w:tblPrEx>
          <w:tblCellMar>
            <w:top w:w="0" w:type="dxa"/>
            <w:bottom w:w="0" w:type="dxa"/>
          </w:tblCellMar>
        </w:tblPrEx>
        <w:trPr>
          <w:trHeight w:val="180"/>
        </w:trPr>
        <w:tc>
          <w:tcPr>
            <w:tcW w:w="2760" w:type="dxa"/>
          </w:tcPr>
          <w:p w:rsidR="00806854" w:rsidRPr="00FA7D7A" w:rsidRDefault="00806854" w:rsidP="00D23B5D">
            <w:pPr>
              <w:rPr>
                <w:rFonts w:hint="eastAsia"/>
              </w:rPr>
            </w:pPr>
            <w:r w:rsidRPr="00FA7D7A">
              <w:t>第二十二条第二項</w:t>
            </w:r>
          </w:p>
        </w:tc>
        <w:tc>
          <w:tcPr>
            <w:tcW w:w="2760" w:type="dxa"/>
          </w:tcPr>
          <w:p w:rsidR="00806854" w:rsidRPr="00FA7D7A" w:rsidRDefault="00806854" w:rsidP="00D23B5D">
            <w:pPr>
              <w:rPr>
                <w:rFonts w:hint="eastAsia"/>
              </w:rPr>
            </w:pPr>
            <w:r w:rsidRPr="00FA7D7A">
              <w:t>前項</w:t>
            </w:r>
          </w:p>
        </w:tc>
        <w:tc>
          <w:tcPr>
            <w:tcW w:w="2760" w:type="dxa"/>
          </w:tcPr>
          <w:p w:rsidR="00806854" w:rsidRPr="00FA7D7A" w:rsidRDefault="00806854" w:rsidP="00D23B5D">
            <w:r w:rsidRPr="00FA7D7A">
              <w:t>第二十四条の四の六において準用する前項</w:t>
            </w:r>
          </w:p>
        </w:tc>
      </w:tr>
    </w:tbl>
    <w:p w:rsidR="00806854" w:rsidRPr="00806854" w:rsidRDefault="00806854" w:rsidP="00806854">
      <w:pPr>
        <w:rPr>
          <w:rFonts w:hint="eastAsia"/>
        </w:rPr>
      </w:pPr>
    </w:p>
    <w:p w:rsidR="00806854" w:rsidRDefault="00806854" w:rsidP="00806854">
      <w:pPr>
        <w:rPr>
          <w:rFonts w:hint="eastAsia"/>
        </w:rPr>
      </w:pPr>
    </w:p>
    <w:p w:rsidR="00806854" w:rsidRDefault="00806854" w:rsidP="00806854">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806854" w:rsidRDefault="00806854" w:rsidP="00806854">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806854" w:rsidRDefault="00806854" w:rsidP="00806854">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806854" w:rsidRDefault="00806854" w:rsidP="0080685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806854" w:rsidRDefault="00806854" w:rsidP="0080685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806854" w:rsidRDefault="00806854" w:rsidP="0080685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520D15" w:rsidRDefault="00520D15" w:rsidP="00520D15">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520D15" w:rsidRDefault="00520D15" w:rsidP="00520D15">
      <w:pPr>
        <w:rPr>
          <w:rFonts w:hint="eastAsia"/>
        </w:rPr>
      </w:pPr>
    </w:p>
    <w:p w:rsidR="00520D15" w:rsidRDefault="00520D15" w:rsidP="00520D15">
      <w:pPr>
        <w:rPr>
          <w:rFonts w:hint="eastAsia"/>
        </w:rPr>
      </w:pPr>
      <w:r>
        <w:rPr>
          <w:rFonts w:hint="eastAsia"/>
        </w:rPr>
        <w:t>（改正後）</w:t>
      </w:r>
    </w:p>
    <w:p w:rsidR="00764D49" w:rsidRPr="00FA7D7A" w:rsidRDefault="00764D49" w:rsidP="00764D49">
      <w:pPr>
        <w:ind w:leftChars="85" w:left="178"/>
      </w:pPr>
      <w:r w:rsidRPr="00FA7D7A">
        <w:t>（内部統制報告書に係る賠償責任に関する読替え）</w:t>
      </w:r>
    </w:p>
    <w:p w:rsidR="00764D49" w:rsidRPr="00FA7D7A" w:rsidRDefault="00764D49" w:rsidP="00764D49">
      <w:pPr>
        <w:ind w:left="179" w:hangingChars="85" w:hanging="179"/>
      </w:pPr>
      <w:r w:rsidRPr="00FA7D7A">
        <w:rPr>
          <w:b/>
          <w:bCs/>
        </w:rPr>
        <w:t>第四条の二の九</w:t>
      </w:r>
      <w:r w:rsidRPr="00FA7D7A">
        <w:t xml:space="preserve">　法第二十四条の四の六（法第二十七条において準用する場合を含む。以下この条において同じ。）において内部統制報告書（その訂正報告書を含む。）のうちに重要な事項について虚偽の記載があり、又は記載すべき重要な事項若しくは誤解を生じさせないために必要な重要な事実の記載が欠けている場合について法の規定を準用する場合における法第二十四条の四の六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764D49" w:rsidTr="00764D49">
        <w:tblPrEx>
          <w:tblCellMar>
            <w:top w:w="0" w:type="dxa"/>
            <w:bottom w:w="0" w:type="dxa"/>
          </w:tblCellMar>
        </w:tblPrEx>
        <w:trPr>
          <w:trHeight w:val="180"/>
        </w:trPr>
        <w:tc>
          <w:tcPr>
            <w:tcW w:w="2760" w:type="dxa"/>
          </w:tcPr>
          <w:p w:rsidR="00764D49" w:rsidRPr="00FA7D7A" w:rsidRDefault="00764D49" w:rsidP="00764D49">
            <w:r w:rsidRPr="00FA7D7A">
              <w:t>読み替える法の規定</w:t>
            </w:r>
          </w:p>
        </w:tc>
        <w:tc>
          <w:tcPr>
            <w:tcW w:w="2760" w:type="dxa"/>
          </w:tcPr>
          <w:p w:rsidR="00764D49" w:rsidRPr="00FA7D7A" w:rsidRDefault="00764D49" w:rsidP="00764D49">
            <w:r w:rsidRPr="00FA7D7A">
              <w:t>読み替えられる字句</w:t>
            </w:r>
          </w:p>
        </w:tc>
        <w:tc>
          <w:tcPr>
            <w:tcW w:w="2760" w:type="dxa"/>
          </w:tcPr>
          <w:p w:rsidR="00764D49" w:rsidRPr="00FA7D7A" w:rsidRDefault="00764D49" w:rsidP="00764D49">
            <w:r w:rsidRPr="00FA7D7A">
              <w:t>読み替える字句</w:t>
            </w:r>
          </w:p>
        </w:tc>
      </w:tr>
      <w:tr w:rsidR="00764D49" w:rsidTr="00764D49">
        <w:tblPrEx>
          <w:tblCellMar>
            <w:top w:w="0" w:type="dxa"/>
            <w:bottom w:w="0" w:type="dxa"/>
          </w:tblCellMar>
        </w:tblPrEx>
        <w:trPr>
          <w:trHeight w:val="180"/>
        </w:trPr>
        <w:tc>
          <w:tcPr>
            <w:tcW w:w="2760" w:type="dxa"/>
          </w:tcPr>
          <w:p w:rsidR="00764D49" w:rsidRPr="00FA7D7A" w:rsidRDefault="00764D49" w:rsidP="00764D49">
            <w:pPr>
              <w:rPr>
                <w:rFonts w:hint="eastAsia"/>
              </w:rPr>
            </w:pPr>
            <w:r w:rsidRPr="00FA7D7A">
              <w:t>第二十二条第二項</w:t>
            </w:r>
          </w:p>
        </w:tc>
        <w:tc>
          <w:tcPr>
            <w:tcW w:w="2760" w:type="dxa"/>
          </w:tcPr>
          <w:p w:rsidR="00764D49" w:rsidRPr="00FA7D7A" w:rsidRDefault="00764D49" w:rsidP="00764D49">
            <w:pPr>
              <w:rPr>
                <w:rFonts w:hint="eastAsia"/>
              </w:rPr>
            </w:pPr>
            <w:r w:rsidRPr="00FA7D7A">
              <w:t>前項</w:t>
            </w:r>
          </w:p>
        </w:tc>
        <w:tc>
          <w:tcPr>
            <w:tcW w:w="2760" w:type="dxa"/>
          </w:tcPr>
          <w:p w:rsidR="00764D49" w:rsidRPr="00FA7D7A" w:rsidRDefault="00764D49" w:rsidP="00764D49">
            <w:r w:rsidRPr="00FA7D7A">
              <w:t>第二十四条の四の六において準用する前項</w:t>
            </w:r>
          </w:p>
        </w:tc>
      </w:tr>
    </w:tbl>
    <w:p w:rsidR="00520D15" w:rsidRPr="00764D49" w:rsidRDefault="00520D15" w:rsidP="00520D15">
      <w:pPr>
        <w:ind w:left="178" w:hangingChars="85" w:hanging="178"/>
        <w:rPr>
          <w:rFonts w:hint="eastAsia"/>
        </w:rPr>
      </w:pPr>
    </w:p>
    <w:p w:rsidR="00520D15" w:rsidRDefault="00520D15" w:rsidP="00520D15">
      <w:pPr>
        <w:ind w:left="178" w:hangingChars="85" w:hanging="178"/>
        <w:rPr>
          <w:rFonts w:hint="eastAsia"/>
        </w:rPr>
      </w:pPr>
      <w:r>
        <w:rPr>
          <w:rFonts w:hint="eastAsia"/>
        </w:rPr>
        <w:t>（改正前）</w:t>
      </w:r>
    </w:p>
    <w:p w:rsidR="00520D15" w:rsidRPr="00205E78" w:rsidRDefault="00520D15" w:rsidP="00520D15">
      <w:pPr>
        <w:rPr>
          <w:rFonts w:hint="eastAsia"/>
          <w:u w:val="single" w:color="FF0000"/>
        </w:rPr>
      </w:pPr>
      <w:r w:rsidRPr="00205E78">
        <w:rPr>
          <w:rFonts w:hint="eastAsia"/>
          <w:u w:val="single" w:color="FF0000"/>
        </w:rPr>
        <w:t>（新設）</w:t>
      </w:r>
    </w:p>
    <w:p w:rsidR="006F7A7D" w:rsidRPr="00520D15" w:rsidRDefault="006F7A7D">
      <w:pPr>
        <w:rPr>
          <w:rFonts w:hint="eastAsia"/>
        </w:rPr>
      </w:pPr>
    </w:p>
    <w:sectPr w:rsidR="006F7A7D" w:rsidRPr="00520D1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520C" w:rsidRDefault="00FF520C">
      <w:r>
        <w:separator/>
      </w:r>
    </w:p>
  </w:endnote>
  <w:endnote w:type="continuationSeparator" w:id="0">
    <w:p w:rsidR="00FF520C" w:rsidRDefault="00FF5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A90" w:rsidRDefault="00F87A90" w:rsidP="00764D4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87A90" w:rsidRDefault="00F87A90" w:rsidP="00764D4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A90" w:rsidRDefault="00F87A90" w:rsidP="00764D4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02E1C">
      <w:rPr>
        <w:rStyle w:val="a4"/>
        <w:noProof/>
      </w:rPr>
      <w:t>1</w:t>
    </w:r>
    <w:r>
      <w:rPr>
        <w:rStyle w:val="a4"/>
      </w:rPr>
      <w:fldChar w:fldCharType="end"/>
    </w:r>
  </w:p>
  <w:p w:rsidR="00F87A90" w:rsidRPr="00F87A90" w:rsidRDefault="00F87A90" w:rsidP="00764D49">
    <w:pPr>
      <w:pStyle w:val="a3"/>
      <w:ind w:right="360"/>
    </w:pPr>
    <w:r>
      <w:rPr>
        <w:rFonts w:ascii="Times New Roman" w:hAnsi="Times New Roman" w:hint="eastAsia"/>
        <w:kern w:val="0"/>
        <w:szCs w:val="21"/>
      </w:rPr>
      <w:t xml:space="preserve">金融商品取引法施行令　</w:t>
    </w:r>
    <w:r w:rsidRPr="00F87A90">
      <w:rPr>
        <w:rFonts w:ascii="Times New Roman" w:hAnsi="Times New Roman"/>
        <w:kern w:val="0"/>
        <w:szCs w:val="21"/>
      </w:rPr>
      <w:fldChar w:fldCharType="begin"/>
    </w:r>
    <w:r w:rsidRPr="00F87A90">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hint="eastAsia"/>
        <w:noProof/>
        <w:kern w:val="0"/>
        <w:szCs w:val="21"/>
      </w:rPr>
      <w:t>の</w:t>
    </w:r>
    <w:r>
      <w:rPr>
        <w:rFonts w:ascii="Times New Roman" w:hAnsi="Times New Roman" w:hint="eastAsia"/>
        <w:noProof/>
        <w:kern w:val="0"/>
        <w:szCs w:val="21"/>
      </w:rPr>
      <w:t>9.doc</w:t>
    </w:r>
    <w:r w:rsidRPr="00F87A90">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520C" w:rsidRDefault="00FF520C">
      <w:r>
        <w:separator/>
      </w:r>
    </w:p>
  </w:footnote>
  <w:footnote w:type="continuationSeparator" w:id="0">
    <w:p w:rsidR="00FF520C" w:rsidRDefault="00FF52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D15"/>
    <w:rsid w:val="001C70A5"/>
    <w:rsid w:val="002C730F"/>
    <w:rsid w:val="00520D15"/>
    <w:rsid w:val="006F7A7D"/>
    <w:rsid w:val="00764D49"/>
    <w:rsid w:val="00802E1C"/>
    <w:rsid w:val="00806854"/>
    <w:rsid w:val="00C916C9"/>
    <w:rsid w:val="00D23B5D"/>
    <w:rsid w:val="00F87A90"/>
    <w:rsid w:val="00FF52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0D1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520D15"/>
    <w:pPr>
      <w:tabs>
        <w:tab w:val="center" w:pos="4252"/>
        <w:tab w:val="right" w:pos="8504"/>
      </w:tabs>
      <w:snapToGrid w:val="0"/>
    </w:pPr>
  </w:style>
  <w:style w:type="character" w:styleId="a4">
    <w:name w:val="page number"/>
    <w:basedOn w:val="a0"/>
    <w:rsid w:val="00520D15"/>
  </w:style>
  <w:style w:type="paragraph" w:styleId="a5">
    <w:name w:val="header"/>
    <w:basedOn w:val="a"/>
    <w:rsid w:val="00F87A9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685</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2024-08-07T07:06:00Z</dcterms:created>
  <dcterms:modified xsi:type="dcterms:W3CDTF">2024-08-07T07:06:00Z</dcterms:modified>
</cp:coreProperties>
</file>