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15A" w:rsidRDefault="00C6715A" w:rsidP="00C6715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6715A" w:rsidRDefault="00BB6331" w:rsidP="00BB6331">
      <w:pPr>
        <w:rPr>
          <w:rFonts w:hint="eastAsia"/>
        </w:rPr>
      </w:pPr>
    </w:p>
    <w:p w:rsidR="003C1896" w:rsidRDefault="003C1896" w:rsidP="00C6715A">
      <w:pPr>
        <w:ind w:leftChars="85" w:left="178"/>
        <w:rPr>
          <w:rFonts w:hint="eastAsia"/>
        </w:rPr>
      </w:pPr>
      <w:r>
        <w:rPr>
          <w:rFonts w:hint="eastAsia"/>
        </w:rPr>
        <w:t>（認可）</w:t>
      </w:r>
    </w:p>
    <w:p w:rsidR="003C1896" w:rsidRDefault="003C1896" w:rsidP="00C6715A">
      <w:pPr>
        <w:ind w:left="179" w:hangingChars="85" w:hanging="179"/>
        <w:rPr>
          <w:rFonts w:hint="eastAsia"/>
        </w:rPr>
      </w:pPr>
      <w:r w:rsidRPr="00C6715A">
        <w:rPr>
          <w:rFonts w:hint="eastAsia"/>
          <w:b/>
        </w:rPr>
        <w:t>第百五十五条</w:t>
      </w:r>
      <w:r>
        <w:rPr>
          <w:rFonts w:hint="eastAsia"/>
        </w:rPr>
        <w:t xml:space="preserve">　外国金融商品市場を開設する者は、第二十九条及び第八十条第一項の規定にかかわらず、内閣総理大臣の認可を受けて、その使用する電子情報処理組織と次に掲げる者の使用に係る入出力装置（以下「外国金融商品取引所入出力装置」という。）とを接続することにより、これらの者に外国金融商品取引所入出力装置を使用して外国金融商品市場における有価証券の売買及び外国市場デリバティブ取引（第二号に掲げる者にあつては登録金融機関業務に係る取引に限る。）を行わせることができる。</w:t>
      </w:r>
    </w:p>
    <w:p w:rsidR="003C1896" w:rsidRDefault="003C1896" w:rsidP="00DA3ACE">
      <w:pPr>
        <w:ind w:leftChars="86" w:left="359" w:hangingChars="85" w:hanging="178"/>
        <w:rPr>
          <w:rFonts w:hint="eastAsia"/>
        </w:rPr>
      </w:pPr>
      <w:r>
        <w:rPr>
          <w:rFonts w:hint="eastAsia"/>
        </w:rPr>
        <w:t>一　金融商品取引業者</w:t>
      </w:r>
    </w:p>
    <w:p w:rsidR="003C1896" w:rsidRDefault="003C1896" w:rsidP="00DA3ACE">
      <w:pPr>
        <w:ind w:leftChars="86" w:left="359" w:hangingChars="85" w:hanging="178"/>
        <w:rPr>
          <w:rFonts w:hint="eastAsia"/>
        </w:rPr>
      </w:pPr>
      <w:r>
        <w:rPr>
          <w:rFonts w:hint="eastAsia"/>
        </w:rPr>
        <w:t>二　登録金融機関</w:t>
      </w:r>
    </w:p>
    <w:p w:rsidR="00BB6331" w:rsidRDefault="003C1896" w:rsidP="00DA3ACE">
      <w:pPr>
        <w:ind w:left="178" w:hangingChars="85" w:hanging="178"/>
        <w:rPr>
          <w:rFonts w:hint="eastAsia"/>
        </w:rPr>
      </w:pPr>
      <w:r>
        <w:rPr>
          <w:rFonts w:hint="eastAsia"/>
        </w:rPr>
        <w:t>２　第三十条の二の規定は、前項の認可について準用する。</w:t>
      </w:r>
    </w:p>
    <w:p w:rsidR="00641E16" w:rsidRDefault="00641E16" w:rsidP="00BB6331">
      <w:pPr>
        <w:rPr>
          <w:rFonts w:hint="eastAsia"/>
        </w:rPr>
      </w:pPr>
    </w:p>
    <w:p w:rsidR="00641E16" w:rsidRDefault="00641E16" w:rsidP="00BB6331">
      <w:pPr>
        <w:rPr>
          <w:rFonts w:hint="eastAsia"/>
        </w:rPr>
      </w:pPr>
    </w:p>
    <w:p w:rsidR="00C6715A" w:rsidRDefault="00C6715A" w:rsidP="00C6715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6715A" w:rsidRDefault="00C6715A" w:rsidP="00C6715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68EF">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68E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68EF">
        <w:rPr>
          <w:rFonts w:hint="eastAsia"/>
        </w:rPr>
        <w:t>（改正なし）</w:t>
      </w:r>
    </w:p>
    <w:p w:rsidR="002F6B91" w:rsidRDefault="002F6B91" w:rsidP="002F6B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A3ACE">
        <w:tab/>
      </w:r>
      <w:r w:rsidR="00DA3AC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A3ACE" w:rsidRDefault="00DA3ACE" w:rsidP="00DA3ACE"/>
    <w:p w:rsidR="00DA3ACE" w:rsidRDefault="00DA3ACE" w:rsidP="00DA3ACE">
      <w:r>
        <w:rPr>
          <w:rFonts w:hint="eastAsia"/>
        </w:rPr>
        <w:t>（改正後）</w:t>
      </w:r>
    </w:p>
    <w:p w:rsidR="00DA3ACE" w:rsidRPr="002F6B91" w:rsidRDefault="00DA3ACE" w:rsidP="00DA3ACE">
      <w:pPr>
        <w:rPr>
          <w:rFonts w:hint="eastAsia"/>
          <w:u w:val="single" w:color="FF0000"/>
        </w:rPr>
      </w:pPr>
      <w:r w:rsidRPr="002F6B91">
        <w:rPr>
          <w:rFonts w:hint="eastAsia"/>
          <w:u w:val="single" w:color="FF0000"/>
        </w:rPr>
        <w:t>（認可）</w:t>
      </w:r>
    </w:p>
    <w:p w:rsidR="00DA3ACE" w:rsidRPr="002F6B91" w:rsidRDefault="00DA3ACE" w:rsidP="00DA3ACE">
      <w:pPr>
        <w:ind w:left="178" w:hangingChars="85" w:hanging="178"/>
        <w:rPr>
          <w:rFonts w:hint="eastAsia"/>
          <w:u w:color="FF0000"/>
        </w:rPr>
      </w:pPr>
      <w:r w:rsidRPr="002F6B91">
        <w:rPr>
          <w:rFonts w:hint="eastAsia"/>
          <w:u w:color="FF0000"/>
        </w:rPr>
        <w:t xml:space="preserve">第百五十五条　</w:t>
      </w:r>
      <w:r w:rsidRPr="002F6B91">
        <w:rPr>
          <w:rFonts w:hint="eastAsia"/>
          <w:u w:val="single" w:color="FF0000"/>
        </w:rPr>
        <w:t>外国金融商品市場を</w:t>
      </w:r>
      <w:r w:rsidRPr="002F6B91">
        <w:rPr>
          <w:rFonts w:hint="eastAsia"/>
          <w:u w:color="FF0000"/>
        </w:rPr>
        <w:t>開設する者は、</w:t>
      </w:r>
      <w:r w:rsidRPr="002F6B91">
        <w:rPr>
          <w:rFonts w:hint="eastAsia"/>
          <w:u w:val="single" w:color="FF0000"/>
        </w:rPr>
        <w:t>第二十九条</w:t>
      </w:r>
      <w:r w:rsidRPr="002F6B91">
        <w:rPr>
          <w:rFonts w:hint="eastAsia"/>
          <w:u w:color="FF0000"/>
        </w:rPr>
        <w:t>及び第八十条第一項の規定にかかわらず、内閣総理大臣の認可を受けて</w:t>
      </w:r>
      <w:r w:rsidR="002964C8" w:rsidRPr="002F6B91">
        <w:rPr>
          <w:rFonts w:hint="eastAsia"/>
          <w:u w:val="single" w:color="FF0000"/>
        </w:rPr>
        <w:t xml:space="preserve">　</w:t>
      </w:r>
      <w:r w:rsidRPr="002F6B91">
        <w:rPr>
          <w:rFonts w:hint="eastAsia"/>
          <w:u w:color="FF0000"/>
        </w:rPr>
        <w:t>、その使用する電子情報処理組織と</w:t>
      </w:r>
      <w:r w:rsidRPr="002F6B91">
        <w:rPr>
          <w:rFonts w:hint="eastAsia"/>
          <w:u w:val="single" w:color="FF0000"/>
        </w:rPr>
        <w:t>次に掲げる者の</w:t>
      </w:r>
      <w:r w:rsidRPr="002F6B91">
        <w:rPr>
          <w:rFonts w:hint="eastAsia"/>
          <w:u w:color="FF0000"/>
        </w:rPr>
        <w:t>使用に係る入出力装置（以下</w:t>
      </w:r>
      <w:r w:rsidRPr="002F6B91">
        <w:rPr>
          <w:rFonts w:hint="eastAsia"/>
          <w:u w:val="single" w:color="FF0000"/>
        </w:rPr>
        <w:t>「外国金融商品取引所入出力装置</w:t>
      </w:r>
      <w:r w:rsidRPr="002F6B91">
        <w:rPr>
          <w:rFonts w:hint="eastAsia"/>
          <w:u w:color="FF0000"/>
        </w:rPr>
        <w:t>」という。）とを接続することにより、</w:t>
      </w:r>
      <w:r w:rsidRPr="002F6B91">
        <w:rPr>
          <w:rFonts w:hint="eastAsia"/>
          <w:u w:val="single" w:color="FF0000"/>
        </w:rPr>
        <w:t>これらの者に外国金融商品取引所入出力装置</w:t>
      </w:r>
      <w:r w:rsidRPr="002F6B91">
        <w:rPr>
          <w:rFonts w:hint="eastAsia"/>
          <w:u w:color="FF0000"/>
        </w:rPr>
        <w:t>を使用して</w:t>
      </w:r>
      <w:r w:rsidRPr="002F6B91">
        <w:rPr>
          <w:rFonts w:hint="eastAsia"/>
          <w:u w:val="single" w:color="FF0000"/>
        </w:rPr>
        <w:t>外国金融商品市場における有価証券の売買及び外国市場デリバティブ取引（第二号に掲げる者にあつては登録金融機関業務に係る取引に限る。）</w:t>
      </w:r>
      <w:r w:rsidRPr="002F6B91">
        <w:rPr>
          <w:rFonts w:hint="eastAsia"/>
          <w:u w:color="FF0000"/>
        </w:rPr>
        <w:t>を行わせることができる。</w:t>
      </w:r>
    </w:p>
    <w:p w:rsidR="00DA3ACE" w:rsidRPr="002F6B91" w:rsidRDefault="00DA3ACE" w:rsidP="00DA3ACE">
      <w:pPr>
        <w:ind w:leftChars="86" w:left="359" w:hangingChars="85" w:hanging="178"/>
        <w:rPr>
          <w:rFonts w:hint="eastAsia"/>
          <w:u w:color="FF0000"/>
        </w:rPr>
      </w:pPr>
      <w:r w:rsidRPr="002F6B91">
        <w:rPr>
          <w:rFonts w:hint="eastAsia"/>
          <w:u w:color="FF0000"/>
        </w:rPr>
        <w:lastRenderedPageBreak/>
        <w:t xml:space="preserve">一　</w:t>
      </w:r>
      <w:r w:rsidRPr="002F6B91">
        <w:rPr>
          <w:rFonts w:hint="eastAsia"/>
          <w:u w:val="single" w:color="FF0000"/>
        </w:rPr>
        <w:t>金融商品取引業者</w:t>
      </w:r>
    </w:p>
    <w:p w:rsidR="00DA3ACE" w:rsidRPr="002F6B91" w:rsidRDefault="00DA3ACE" w:rsidP="00DA3ACE">
      <w:pPr>
        <w:ind w:leftChars="86" w:left="359" w:hangingChars="85" w:hanging="178"/>
        <w:rPr>
          <w:rFonts w:hint="eastAsia"/>
          <w:u w:color="FF0000"/>
        </w:rPr>
      </w:pPr>
      <w:r w:rsidRPr="002F6B91">
        <w:rPr>
          <w:rFonts w:hint="eastAsia"/>
          <w:u w:color="FF0000"/>
        </w:rPr>
        <w:t xml:space="preserve">二　</w:t>
      </w:r>
      <w:r w:rsidRPr="002F6B91">
        <w:rPr>
          <w:rFonts w:hint="eastAsia"/>
          <w:u w:val="single" w:color="FF0000"/>
        </w:rPr>
        <w:t>登録金融機関</w:t>
      </w:r>
    </w:p>
    <w:p w:rsidR="00DA3ACE" w:rsidRPr="002F6B91" w:rsidRDefault="00DA3ACE" w:rsidP="00DA3ACE">
      <w:pPr>
        <w:ind w:left="178" w:hangingChars="85" w:hanging="178"/>
        <w:rPr>
          <w:rFonts w:hint="eastAsia"/>
          <w:u w:color="FF0000"/>
        </w:rPr>
      </w:pPr>
      <w:r w:rsidRPr="002F6B91">
        <w:rPr>
          <w:rFonts w:hint="eastAsia"/>
          <w:u w:val="single" w:color="FF0000"/>
        </w:rPr>
        <w:t>２</w:t>
      </w:r>
      <w:r w:rsidRPr="002F6B91">
        <w:rPr>
          <w:rFonts w:hint="eastAsia"/>
          <w:u w:color="FF0000"/>
        </w:rPr>
        <w:t xml:space="preserve">　</w:t>
      </w:r>
      <w:r w:rsidRPr="002F6B91">
        <w:rPr>
          <w:rFonts w:hint="eastAsia"/>
          <w:u w:val="single" w:color="FF0000"/>
        </w:rPr>
        <w:t>第三十条の二</w:t>
      </w:r>
      <w:r w:rsidRPr="002F6B91">
        <w:rPr>
          <w:rFonts w:hint="eastAsia"/>
          <w:u w:color="FF0000"/>
        </w:rPr>
        <w:t>の規定は、前項の認可について準用する。</w:t>
      </w:r>
    </w:p>
    <w:p w:rsidR="00DA3ACE" w:rsidRPr="002F6B91" w:rsidRDefault="00DA3ACE" w:rsidP="00DA3ACE">
      <w:pPr>
        <w:ind w:left="178" w:hangingChars="85" w:hanging="178"/>
        <w:rPr>
          <w:u w:color="FF0000"/>
        </w:rPr>
      </w:pPr>
    </w:p>
    <w:p w:rsidR="00DA3ACE" w:rsidRPr="002F6B91" w:rsidRDefault="00DA3ACE" w:rsidP="00DA3ACE">
      <w:pPr>
        <w:ind w:left="178" w:hangingChars="85" w:hanging="178"/>
        <w:rPr>
          <w:u w:color="FF0000"/>
        </w:rPr>
      </w:pPr>
      <w:r w:rsidRPr="002F6B91">
        <w:rPr>
          <w:rFonts w:hint="eastAsia"/>
          <w:u w:color="FF0000"/>
        </w:rPr>
        <w:t>（改正前）</w:t>
      </w:r>
    </w:p>
    <w:p w:rsidR="00DA3ACE" w:rsidRPr="002F6B91" w:rsidRDefault="00DA3ACE" w:rsidP="00DA3ACE">
      <w:pPr>
        <w:rPr>
          <w:u w:val="single" w:color="FF0000"/>
        </w:rPr>
      </w:pPr>
      <w:r w:rsidRPr="002F6B91">
        <w:rPr>
          <w:rFonts w:hint="eastAsia"/>
          <w:u w:val="single" w:color="FF0000"/>
        </w:rPr>
        <w:t>（新設）</w:t>
      </w:r>
    </w:p>
    <w:p w:rsidR="00DA3ACE" w:rsidRPr="002F6B91" w:rsidRDefault="00DA3ACE" w:rsidP="00DA3ACE">
      <w:pPr>
        <w:ind w:left="178" w:hangingChars="85" w:hanging="178"/>
        <w:rPr>
          <w:rFonts w:hint="eastAsia"/>
          <w:u w:color="FF0000"/>
        </w:rPr>
      </w:pPr>
      <w:r w:rsidRPr="002F6B91">
        <w:rPr>
          <w:rFonts w:hint="eastAsia"/>
          <w:u w:color="FF0000"/>
        </w:rPr>
        <w:t>第百五十五条</w:t>
      </w:r>
      <w:r w:rsidRPr="002F6B91">
        <w:rPr>
          <w:rFonts w:hint="eastAsia"/>
          <w:u w:color="FF0000"/>
        </w:rPr>
        <w:t xml:space="preserve"> </w:t>
      </w:r>
      <w:r w:rsidRPr="002F6B91">
        <w:rPr>
          <w:rFonts w:hint="eastAsia"/>
          <w:u w:color="FF0000"/>
        </w:rPr>
        <w:t xml:space="preserve">　</w:t>
      </w:r>
      <w:r w:rsidRPr="002F6B91">
        <w:rPr>
          <w:rFonts w:hint="eastAsia"/>
          <w:u w:val="single" w:color="FF0000"/>
        </w:rPr>
        <w:t>外国有価証券市場を</w:t>
      </w:r>
      <w:r w:rsidRPr="002F6B91">
        <w:rPr>
          <w:rFonts w:hint="eastAsia"/>
          <w:u w:color="FF0000"/>
        </w:rPr>
        <w:t>開設する者は、</w:t>
      </w:r>
      <w:r w:rsidRPr="002F6B91">
        <w:rPr>
          <w:rFonts w:hint="eastAsia"/>
          <w:u w:val="single" w:color="FF0000"/>
        </w:rPr>
        <w:t>第二十八条</w:t>
      </w:r>
      <w:r w:rsidRPr="002F6B91">
        <w:rPr>
          <w:rFonts w:hint="eastAsia"/>
          <w:u w:color="FF0000"/>
        </w:rPr>
        <w:t>及び第八十条第一項の規定にかかわらず、内閣総理大臣の認可を受けて</w:t>
      </w:r>
      <w:r w:rsidR="002964C8" w:rsidRPr="002F6B91">
        <w:rPr>
          <w:rFonts w:hint="eastAsia"/>
          <w:u w:val="single" w:color="FF0000"/>
        </w:rPr>
        <w:t>、次の各号に掲げる取引について</w:t>
      </w:r>
      <w:r w:rsidRPr="002F6B91">
        <w:rPr>
          <w:rFonts w:hint="eastAsia"/>
          <w:u w:color="FF0000"/>
        </w:rPr>
        <w:t>、その使用する電子情報処理組織と</w:t>
      </w:r>
      <w:r w:rsidRPr="002F6B91">
        <w:rPr>
          <w:rFonts w:hint="eastAsia"/>
          <w:u w:val="single" w:color="FF0000"/>
        </w:rPr>
        <w:t>当該各号に定める者の</w:t>
      </w:r>
      <w:r w:rsidRPr="002F6B91">
        <w:rPr>
          <w:rFonts w:hint="eastAsia"/>
          <w:u w:color="FF0000"/>
        </w:rPr>
        <w:t>使用に係る入出力装置（以下</w:t>
      </w:r>
      <w:r w:rsidR="002964C8" w:rsidRPr="002F6B91">
        <w:rPr>
          <w:rFonts w:hint="eastAsia"/>
          <w:u w:val="single" w:color="FF0000"/>
        </w:rPr>
        <w:t>「外国証券取引所入出力装置</w:t>
      </w:r>
      <w:r w:rsidRPr="002F6B91">
        <w:rPr>
          <w:rFonts w:hint="eastAsia"/>
          <w:u w:color="FF0000"/>
        </w:rPr>
        <w:t>」という。）とを接続することにより、</w:t>
      </w:r>
      <w:r w:rsidR="002964C8" w:rsidRPr="002F6B91">
        <w:rPr>
          <w:rFonts w:hint="eastAsia"/>
          <w:u w:val="single" w:color="FF0000"/>
        </w:rPr>
        <w:t>当該各号に定める者に外国証券取引所入出力装置</w:t>
      </w:r>
      <w:r w:rsidRPr="002F6B91">
        <w:rPr>
          <w:rFonts w:hint="eastAsia"/>
          <w:u w:color="FF0000"/>
        </w:rPr>
        <w:t>を使用して</w:t>
      </w:r>
      <w:r w:rsidR="002964C8" w:rsidRPr="002F6B91">
        <w:rPr>
          <w:rFonts w:hint="eastAsia"/>
          <w:u w:val="single" w:color="FF0000"/>
        </w:rPr>
        <w:t>当該各号に掲げる取引</w:t>
      </w:r>
      <w:r w:rsidRPr="002F6B91">
        <w:rPr>
          <w:rFonts w:hint="eastAsia"/>
          <w:u w:color="FF0000"/>
        </w:rPr>
        <w:t>を行わせることができる。</w:t>
      </w:r>
      <w:r w:rsidRPr="002F6B91">
        <w:rPr>
          <w:rFonts w:hint="eastAsia"/>
          <w:u w:color="FF0000"/>
        </w:rPr>
        <w:t xml:space="preserve"> </w:t>
      </w:r>
    </w:p>
    <w:p w:rsidR="002F6B91" w:rsidRDefault="002F6B91" w:rsidP="002F6B91">
      <w:pPr>
        <w:ind w:leftChars="86" w:left="359" w:hangingChars="85" w:hanging="178"/>
        <w:rPr>
          <w:rFonts w:hint="eastAsia"/>
        </w:rPr>
      </w:pPr>
      <w:r>
        <w:rPr>
          <w:rFonts w:hint="eastAsia"/>
        </w:rPr>
        <w:t xml:space="preserve">一　</w:t>
      </w:r>
      <w:r w:rsidRPr="002F6B91">
        <w:rPr>
          <w:rFonts w:hint="eastAsia"/>
          <w:u w:val="single" w:color="FF0000"/>
        </w:rPr>
        <w:t>外国有価証券市場における有価証券の売買及び外国市場証券先物取引　証券会社及び外国証券会社</w:t>
      </w:r>
    </w:p>
    <w:p w:rsidR="002F6B91" w:rsidRDefault="002F6B91" w:rsidP="002F6B91">
      <w:pPr>
        <w:ind w:leftChars="86" w:left="359" w:hangingChars="85" w:hanging="178"/>
        <w:rPr>
          <w:rFonts w:hint="eastAsia"/>
        </w:rPr>
      </w:pPr>
      <w:r>
        <w:rPr>
          <w:rFonts w:hint="eastAsia"/>
        </w:rPr>
        <w:t xml:space="preserve">二　</w:t>
      </w:r>
      <w:r w:rsidRPr="002F6B91">
        <w:rPr>
          <w:rFonts w:hint="eastAsia"/>
          <w:u w:val="single" w:color="FF0000"/>
        </w:rPr>
        <w:t>外国有価証券市場における有価証券先物取引と類似の取引及び外国市場証券先物取引（国債証券等に係るものに限る。）　登録金融機関のうち内閣府令で定める業務を行う者</w:t>
      </w:r>
    </w:p>
    <w:p w:rsidR="00DA3ACE" w:rsidRDefault="002F6B91" w:rsidP="00DA3ACE">
      <w:pPr>
        <w:ind w:left="178" w:hangingChars="85" w:hanging="178"/>
        <w:rPr>
          <w:rFonts w:hint="eastAsia"/>
        </w:rPr>
      </w:pPr>
      <w:r>
        <w:rPr>
          <w:rFonts w:hint="eastAsia"/>
          <w:u w:val="single" w:color="FF0000"/>
        </w:rPr>
        <w:t>②</w:t>
      </w:r>
      <w:r w:rsidR="00DA3ACE" w:rsidRPr="002F6B91">
        <w:rPr>
          <w:rFonts w:hint="eastAsia"/>
          <w:u w:color="FF0000"/>
        </w:rPr>
        <w:t xml:space="preserve">　</w:t>
      </w:r>
      <w:r w:rsidR="002964C8" w:rsidRPr="002F6B91">
        <w:rPr>
          <w:rFonts w:hint="eastAsia"/>
          <w:u w:val="single" w:color="FF0000"/>
        </w:rPr>
        <w:t>第二十九条の二</w:t>
      </w:r>
      <w:r w:rsidR="00DA3ACE" w:rsidRPr="002F6B91">
        <w:rPr>
          <w:rFonts w:hint="eastAsia"/>
          <w:u w:color="FF0000"/>
        </w:rPr>
        <w:t>の規定は、前項の</w:t>
      </w:r>
      <w:r w:rsidR="00DA3ACE">
        <w:rPr>
          <w:rFonts w:hint="eastAsia"/>
        </w:rPr>
        <w:t>認可について準用する。</w:t>
      </w:r>
    </w:p>
    <w:p w:rsidR="00DA3ACE" w:rsidRDefault="00DA3ACE" w:rsidP="00DA3ACE"/>
    <w:p w:rsidR="00DA3ACE" w:rsidRDefault="00DA3ACE" w:rsidP="00DA3ACE">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F6B91">
        <w:tab/>
      </w:r>
      <w:r w:rsidR="002F6B9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F6B91">
        <w:tab/>
      </w:r>
      <w:r w:rsidR="002F6B91">
        <w:rPr>
          <w:rFonts w:hint="eastAsia"/>
        </w:rPr>
        <w:t>（改正なし）</w:t>
      </w:r>
    </w:p>
    <w:p w:rsidR="0052711F" w:rsidRDefault="00BB6331" w:rsidP="0052711F">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52711F" w:rsidRDefault="0052711F" w:rsidP="0052711F"/>
    <w:p w:rsidR="0052711F" w:rsidRDefault="0052711F" w:rsidP="0052711F">
      <w:r>
        <w:rPr>
          <w:rFonts w:hint="eastAsia"/>
        </w:rPr>
        <w:t>（改正後）</w:t>
      </w:r>
    </w:p>
    <w:p w:rsidR="0052711F" w:rsidRDefault="0052711F" w:rsidP="0052711F">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52711F" w:rsidRDefault="0052711F" w:rsidP="0052711F">
      <w:pPr>
        <w:ind w:leftChars="86" w:left="359" w:hangingChars="85" w:hanging="178"/>
        <w:rPr>
          <w:rFonts w:hint="eastAsia"/>
        </w:rPr>
      </w:pPr>
      <w:r>
        <w:rPr>
          <w:rFonts w:hint="eastAsia"/>
        </w:rPr>
        <w:lastRenderedPageBreak/>
        <w:t>一　外国有価証券市場における有価証券の売買及び外国市場証券先物取引　証券会社及び外国証券会社</w:t>
      </w:r>
    </w:p>
    <w:p w:rsidR="0052711F" w:rsidRDefault="0052711F" w:rsidP="0052711F">
      <w:pPr>
        <w:ind w:leftChars="86" w:left="359" w:hangingChars="85" w:hanging="178"/>
        <w:rPr>
          <w:rFonts w:hint="eastAsia"/>
        </w:rPr>
      </w:pPr>
      <w:r>
        <w:rPr>
          <w:rFonts w:hint="eastAsia"/>
        </w:rPr>
        <w:t>二　外国有価証券市場における有価証券先物取引と</w:t>
      </w:r>
      <w:r w:rsidRPr="0052711F">
        <w:rPr>
          <w:rFonts w:hint="eastAsia"/>
          <w:u w:val="single" w:color="FF0000"/>
        </w:rPr>
        <w:t>類似の取引</w:t>
      </w:r>
      <w:r w:rsidRPr="00691AF3">
        <w:rPr>
          <w:rFonts w:hint="eastAsia"/>
          <w:u w:val="single" w:color="FF0000"/>
        </w:rPr>
        <w:t>及び外国市場証券先物取引</w:t>
      </w:r>
      <w:r>
        <w:rPr>
          <w:rFonts w:hint="eastAsia"/>
        </w:rPr>
        <w:t>（国債証券等に係るものに限る。）</w:t>
      </w:r>
      <w:r>
        <w:rPr>
          <w:rFonts w:hint="eastAsia"/>
          <w:u w:val="single" w:color="FF0000"/>
        </w:rPr>
        <w:t xml:space="preserve">　</w:t>
      </w:r>
      <w:r>
        <w:rPr>
          <w:rFonts w:hint="eastAsia"/>
        </w:rPr>
        <w:t xml:space="preserve">　登録金融機関のうち内閣府令で定める業務を行う者</w:t>
      </w:r>
    </w:p>
    <w:p w:rsidR="0052711F" w:rsidRDefault="0052711F" w:rsidP="0052711F">
      <w:pPr>
        <w:ind w:left="178" w:hangingChars="85" w:hanging="178"/>
        <w:rPr>
          <w:rFonts w:hint="eastAsia"/>
        </w:rPr>
      </w:pPr>
      <w:r>
        <w:rPr>
          <w:rFonts w:hint="eastAsia"/>
        </w:rPr>
        <w:t>②　第二十九条の二の規定は、前項の認可について準用する。</w:t>
      </w:r>
    </w:p>
    <w:p w:rsidR="0052711F" w:rsidRDefault="0052711F" w:rsidP="0052711F">
      <w:pPr>
        <w:ind w:left="178" w:hangingChars="85" w:hanging="178"/>
      </w:pPr>
    </w:p>
    <w:p w:rsidR="0052711F" w:rsidRDefault="0052711F" w:rsidP="0052711F">
      <w:pPr>
        <w:ind w:left="178" w:hangingChars="85" w:hanging="178"/>
      </w:pPr>
      <w:r>
        <w:rPr>
          <w:rFonts w:hint="eastAsia"/>
        </w:rPr>
        <w:t>（改正前）</w:t>
      </w:r>
    </w:p>
    <w:p w:rsidR="0052711F" w:rsidRDefault="0052711F" w:rsidP="0052711F">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52711F" w:rsidRDefault="0052711F" w:rsidP="0052711F">
      <w:pPr>
        <w:ind w:leftChars="86" w:left="359" w:hangingChars="85" w:hanging="178"/>
        <w:rPr>
          <w:rFonts w:hint="eastAsia"/>
        </w:rPr>
      </w:pPr>
      <w:r>
        <w:rPr>
          <w:rFonts w:hint="eastAsia"/>
        </w:rPr>
        <w:t>一　外国有価証券市場における有価証券の売買及び外国市場証券先物取引　証券会社及び外国証券会社</w:t>
      </w:r>
    </w:p>
    <w:p w:rsidR="0052711F" w:rsidRDefault="0052711F" w:rsidP="0052711F">
      <w:pPr>
        <w:ind w:leftChars="86" w:left="359" w:hangingChars="85" w:hanging="178"/>
        <w:rPr>
          <w:rFonts w:hint="eastAsia"/>
        </w:rPr>
      </w:pPr>
      <w:r>
        <w:rPr>
          <w:rFonts w:hint="eastAsia"/>
        </w:rPr>
        <w:t>二　外国有価証券市場における有価証券先物取引と</w:t>
      </w:r>
      <w:r w:rsidRPr="0052711F">
        <w:rPr>
          <w:rFonts w:hint="eastAsia"/>
          <w:u w:val="single" w:color="FF0000"/>
        </w:rPr>
        <w:t>類似の取引</w:t>
      </w:r>
      <w:r>
        <w:rPr>
          <w:rFonts w:hint="eastAsia"/>
        </w:rPr>
        <w:t>（国債証券等に係るものに限る。）</w:t>
      </w:r>
      <w:r w:rsidRPr="0052711F">
        <w:rPr>
          <w:rFonts w:hint="eastAsia"/>
          <w:u w:val="single" w:color="FF0000"/>
        </w:rPr>
        <w:t>並びに第六十五条第二項第六号ロ、ホ及びヘに掲げる取引</w:t>
      </w:r>
      <w:r>
        <w:rPr>
          <w:rFonts w:hint="eastAsia"/>
        </w:rPr>
        <w:t xml:space="preserve">　登録金融機関のうち内閣府令で定める業務を行う者</w:t>
      </w:r>
    </w:p>
    <w:p w:rsidR="0052711F" w:rsidRDefault="0052711F" w:rsidP="0052711F">
      <w:pPr>
        <w:ind w:left="178" w:hangingChars="85" w:hanging="178"/>
        <w:rPr>
          <w:rFonts w:hint="eastAsia"/>
        </w:rPr>
      </w:pPr>
      <w:r>
        <w:rPr>
          <w:rFonts w:hint="eastAsia"/>
        </w:rPr>
        <w:t>②　第二十九条の二の規定は、前項の認可について準用する。</w:t>
      </w:r>
    </w:p>
    <w:p w:rsidR="0052711F" w:rsidRDefault="0052711F" w:rsidP="0052711F"/>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52711F">
        <w:tab/>
      </w:r>
      <w:r w:rsidR="0052711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52711F">
        <w:tab/>
      </w:r>
      <w:r w:rsidR="0052711F">
        <w:rPr>
          <w:rFonts w:hint="eastAsia"/>
        </w:rPr>
        <w:t>（改正なし）</w:t>
      </w:r>
    </w:p>
    <w:p w:rsidR="00751674" w:rsidRDefault="00BB6331" w:rsidP="00751674">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51674" w:rsidRDefault="00751674" w:rsidP="00751674"/>
    <w:p w:rsidR="00751674" w:rsidRDefault="00751674" w:rsidP="00751674">
      <w:r>
        <w:rPr>
          <w:rFonts w:hint="eastAsia"/>
        </w:rPr>
        <w:t>（改正後）</w:t>
      </w:r>
    </w:p>
    <w:p w:rsidR="00751674" w:rsidRDefault="00751674" w:rsidP="00751674">
      <w:pPr>
        <w:ind w:left="178" w:hangingChars="85" w:hanging="178"/>
        <w:rPr>
          <w:rFonts w:hint="eastAsia"/>
        </w:rPr>
      </w:pPr>
      <w:r>
        <w:rPr>
          <w:rFonts w:hint="eastAsia"/>
        </w:rPr>
        <w:t>第百五十五条　外国有価証券市場を開設する者は、第二十八条及び第八十条第一項の規定にかかわらず、内閣総理大臣の認可を受けて、次の各号に掲げる取引について、その使用する電子情報処理組織と当該各号に定める者の使用に係る入出力装置（以下「外国証券取引所入出力装置」という。）とを接続することにより、当該各号に定める者に外国証券取引所入出力装置を使用して当該各号に掲げる取引を行わせることができる。</w:t>
      </w:r>
    </w:p>
    <w:p w:rsidR="00751674" w:rsidRDefault="00751674" w:rsidP="00751674">
      <w:pPr>
        <w:ind w:leftChars="86" w:left="359" w:hangingChars="85" w:hanging="178"/>
        <w:rPr>
          <w:rFonts w:hint="eastAsia"/>
        </w:rPr>
      </w:pPr>
      <w:r>
        <w:rPr>
          <w:rFonts w:hint="eastAsia"/>
        </w:rPr>
        <w:t>一　外国有価証券市場における有価証券の売買及び外国市場証券先物取引　証券会社及</w:t>
      </w:r>
      <w:r>
        <w:rPr>
          <w:rFonts w:hint="eastAsia"/>
        </w:rPr>
        <w:lastRenderedPageBreak/>
        <w:t>び外国証券会社</w:t>
      </w:r>
    </w:p>
    <w:p w:rsidR="00751674" w:rsidRDefault="00751674" w:rsidP="00751674">
      <w:pPr>
        <w:ind w:leftChars="86" w:left="359" w:hangingChars="85" w:hanging="178"/>
        <w:rPr>
          <w:rFonts w:hint="eastAsia"/>
        </w:rPr>
      </w:pPr>
      <w:r>
        <w:rPr>
          <w:rFonts w:hint="eastAsia"/>
        </w:rPr>
        <w:t>二　外国有価証券市場における有価証券先物取引と類似の取引（国債証券等に係るものに限る。）並びに第六十五条第二項第六号ロ、ホ及びヘに掲げる取引　登録金融機関のうち内閣府令で定める業務を行う者</w:t>
      </w:r>
    </w:p>
    <w:p w:rsidR="00751674" w:rsidRDefault="00751674" w:rsidP="00751674">
      <w:pPr>
        <w:ind w:left="178" w:hangingChars="85" w:hanging="178"/>
        <w:rPr>
          <w:rFonts w:hint="eastAsia"/>
        </w:rPr>
      </w:pPr>
      <w:r>
        <w:rPr>
          <w:rFonts w:hint="eastAsia"/>
        </w:rPr>
        <w:t>②　第二十九条の二の規定は、前項の認可について準用する。</w:t>
      </w:r>
    </w:p>
    <w:p w:rsidR="00751674" w:rsidRDefault="00751674" w:rsidP="00751674">
      <w:pPr>
        <w:ind w:left="178" w:hangingChars="85" w:hanging="178"/>
      </w:pPr>
    </w:p>
    <w:p w:rsidR="00751674" w:rsidRDefault="00751674" w:rsidP="00751674">
      <w:pPr>
        <w:ind w:left="178" w:hangingChars="85" w:hanging="178"/>
      </w:pPr>
      <w:r>
        <w:rPr>
          <w:rFonts w:hint="eastAsia"/>
        </w:rPr>
        <w:t>（改正前）</w:t>
      </w:r>
    </w:p>
    <w:p w:rsidR="00751674" w:rsidRDefault="00751674" w:rsidP="00751674">
      <w:pPr>
        <w:rPr>
          <w:u w:val="single" w:color="FF0000"/>
        </w:rPr>
      </w:pPr>
      <w:r>
        <w:rPr>
          <w:rFonts w:hint="eastAsia"/>
          <w:u w:val="single" w:color="FF0000"/>
        </w:rPr>
        <w:t>（新設）</w:t>
      </w:r>
    </w:p>
    <w:p w:rsidR="00751674" w:rsidRDefault="00751674" w:rsidP="00751674"/>
    <w:p w:rsidR="00406798" w:rsidRDefault="00406798" w:rsidP="00406798"/>
    <w:sectPr w:rsidR="004067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83C" w:rsidRDefault="0050483C">
      <w:r>
        <w:separator/>
      </w:r>
    </w:p>
  </w:endnote>
  <w:endnote w:type="continuationSeparator" w:id="0">
    <w:p w:rsidR="0050483C" w:rsidRDefault="00504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3FB" w:rsidRDefault="00C113F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113FB" w:rsidRDefault="00C113FB"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13FB" w:rsidRDefault="00C113FB"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6E40">
      <w:rPr>
        <w:rStyle w:val="a4"/>
        <w:noProof/>
      </w:rPr>
      <w:t>1</w:t>
    </w:r>
    <w:r>
      <w:rPr>
        <w:rStyle w:val="a4"/>
      </w:rPr>
      <w:fldChar w:fldCharType="end"/>
    </w:r>
  </w:p>
  <w:p w:rsidR="00C113FB" w:rsidRPr="00C6715A" w:rsidRDefault="00C6715A" w:rsidP="00C6715A">
    <w:pPr>
      <w:pStyle w:val="a3"/>
      <w:ind w:right="360"/>
    </w:pPr>
    <w:r>
      <w:rPr>
        <w:rFonts w:ascii="Times New Roman" w:hAnsi="Times New Roman" w:hint="eastAsia"/>
        <w:noProof/>
        <w:kern w:val="0"/>
        <w:szCs w:val="21"/>
      </w:rPr>
      <w:t xml:space="preserve">金融商品取引法　</w:t>
    </w:r>
    <w:r w:rsidRPr="00C6715A">
      <w:rPr>
        <w:rFonts w:ascii="Times New Roman" w:hAnsi="Times New Roman"/>
        <w:noProof/>
        <w:kern w:val="0"/>
        <w:szCs w:val="21"/>
      </w:rPr>
      <w:fldChar w:fldCharType="begin"/>
    </w:r>
    <w:r w:rsidRPr="00C6715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w:t>
    </w:r>
    <w:r>
      <w:rPr>
        <w:rFonts w:ascii="Times New Roman" w:hAnsi="Times New Roman" w:hint="eastAsia"/>
        <w:noProof/>
        <w:kern w:val="0"/>
        <w:szCs w:val="21"/>
      </w:rPr>
      <w:t>.doc</w:t>
    </w:r>
    <w:r w:rsidRPr="00C6715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83C" w:rsidRDefault="0050483C">
      <w:r>
        <w:separator/>
      </w:r>
    </w:p>
  </w:footnote>
  <w:footnote w:type="continuationSeparator" w:id="0">
    <w:p w:rsidR="0050483C" w:rsidRDefault="005048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1E44"/>
    <w:rsid w:val="00177F5F"/>
    <w:rsid w:val="002964C8"/>
    <w:rsid w:val="002B657D"/>
    <w:rsid w:val="002F6B91"/>
    <w:rsid w:val="003C1896"/>
    <w:rsid w:val="00406798"/>
    <w:rsid w:val="0041378F"/>
    <w:rsid w:val="0050483C"/>
    <w:rsid w:val="0052711F"/>
    <w:rsid w:val="00534A07"/>
    <w:rsid w:val="005513A8"/>
    <w:rsid w:val="006010BA"/>
    <w:rsid w:val="0060122D"/>
    <w:rsid w:val="00641E16"/>
    <w:rsid w:val="00751674"/>
    <w:rsid w:val="007D76EA"/>
    <w:rsid w:val="00845C82"/>
    <w:rsid w:val="009568EF"/>
    <w:rsid w:val="00976E40"/>
    <w:rsid w:val="009E6AAE"/>
    <w:rsid w:val="00AA3856"/>
    <w:rsid w:val="00AD0871"/>
    <w:rsid w:val="00BB6331"/>
    <w:rsid w:val="00BE336B"/>
    <w:rsid w:val="00C113FB"/>
    <w:rsid w:val="00C6715A"/>
    <w:rsid w:val="00C93DF0"/>
    <w:rsid w:val="00CB04CB"/>
    <w:rsid w:val="00CC6F69"/>
    <w:rsid w:val="00D32D1F"/>
    <w:rsid w:val="00D62D15"/>
    <w:rsid w:val="00DA3ACE"/>
    <w:rsid w:val="00EE6F72"/>
    <w:rsid w:val="00EE7F43"/>
    <w:rsid w:val="00F166B8"/>
    <w:rsid w:val="00F31C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B9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964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40836">
      <w:bodyDiv w:val="1"/>
      <w:marLeft w:val="0"/>
      <w:marRight w:val="0"/>
      <w:marTop w:val="0"/>
      <w:marBottom w:val="0"/>
      <w:divBdr>
        <w:top w:val="none" w:sz="0" w:space="0" w:color="auto"/>
        <w:left w:val="none" w:sz="0" w:space="0" w:color="auto"/>
        <w:bottom w:val="none" w:sz="0" w:space="0" w:color="auto"/>
        <w:right w:val="none" w:sz="0" w:space="0" w:color="auto"/>
      </w:divBdr>
    </w:div>
    <w:div w:id="107087427">
      <w:bodyDiv w:val="1"/>
      <w:marLeft w:val="0"/>
      <w:marRight w:val="0"/>
      <w:marTop w:val="0"/>
      <w:marBottom w:val="0"/>
      <w:divBdr>
        <w:top w:val="none" w:sz="0" w:space="0" w:color="auto"/>
        <w:left w:val="none" w:sz="0" w:space="0" w:color="auto"/>
        <w:bottom w:val="none" w:sz="0" w:space="0" w:color="auto"/>
        <w:right w:val="none" w:sz="0" w:space="0" w:color="auto"/>
      </w:divBdr>
    </w:div>
    <w:div w:id="128476928">
      <w:bodyDiv w:val="1"/>
      <w:marLeft w:val="0"/>
      <w:marRight w:val="0"/>
      <w:marTop w:val="0"/>
      <w:marBottom w:val="0"/>
      <w:divBdr>
        <w:top w:val="none" w:sz="0" w:space="0" w:color="auto"/>
        <w:left w:val="none" w:sz="0" w:space="0" w:color="auto"/>
        <w:bottom w:val="none" w:sz="0" w:space="0" w:color="auto"/>
        <w:right w:val="none" w:sz="0" w:space="0" w:color="auto"/>
      </w:divBdr>
    </w:div>
    <w:div w:id="378168591">
      <w:bodyDiv w:val="1"/>
      <w:marLeft w:val="0"/>
      <w:marRight w:val="0"/>
      <w:marTop w:val="0"/>
      <w:marBottom w:val="0"/>
      <w:divBdr>
        <w:top w:val="none" w:sz="0" w:space="0" w:color="auto"/>
        <w:left w:val="none" w:sz="0" w:space="0" w:color="auto"/>
        <w:bottom w:val="none" w:sz="0" w:space="0" w:color="auto"/>
        <w:right w:val="none" w:sz="0" w:space="0" w:color="auto"/>
      </w:divBdr>
    </w:div>
    <w:div w:id="418449381">
      <w:bodyDiv w:val="1"/>
      <w:marLeft w:val="0"/>
      <w:marRight w:val="0"/>
      <w:marTop w:val="0"/>
      <w:marBottom w:val="0"/>
      <w:divBdr>
        <w:top w:val="none" w:sz="0" w:space="0" w:color="auto"/>
        <w:left w:val="none" w:sz="0" w:space="0" w:color="auto"/>
        <w:bottom w:val="none" w:sz="0" w:space="0" w:color="auto"/>
        <w:right w:val="none" w:sz="0" w:space="0" w:color="auto"/>
      </w:divBdr>
    </w:div>
    <w:div w:id="502596112">
      <w:bodyDiv w:val="1"/>
      <w:marLeft w:val="0"/>
      <w:marRight w:val="0"/>
      <w:marTop w:val="0"/>
      <w:marBottom w:val="0"/>
      <w:divBdr>
        <w:top w:val="none" w:sz="0" w:space="0" w:color="auto"/>
        <w:left w:val="none" w:sz="0" w:space="0" w:color="auto"/>
        <w:bottom w:val="none" w:sz="0" w:space="0" w:color="auto"/>
        <w:right w:val="none" w:sz="0" w:space="0" w:color="auto"/>
      </w:divBdr>
    </w:div>
    <w:div w:id="530072108">
      <w:bodyDiv w:val="1"/>
      <w:marLeft w:val="0"/>
      <w:marRight w:val="0"/>
      <w:marTop w:val="0"/>
      <w:marBottom w:val="0"/>
      <w:divBdr>
        <w:top w:val="none" w:sz="0" w:space="0" w:color="auto"/>
        <w:left w:val="none" w:sz="0" w:space="0" w:color="auto"/>
        <w:bottom w:val="none" w:sz="0" w:space="0" w:color="auto"/>
        <w:right w:val="none" w:sz="0" w:space="0" w:color="auto"/>
      </w:divBdr>
    </w:div>
    <w:div w:id="700280474">
      <w:bodyDiv w:val="1"/>
      <w:marLeft w:val="0"/>
      <w:marRight w:val="0"/>
      <w:marTop w:val="0"/>
      <w:marBottom w:val="0"/>
      <w:divBdr>
        <w:top w:val="none" w:sz="0" w:space="0" w:color="auto"/>
        <w:left w:val="none" w:sz="0" w:space="0" w:color="auto"/>
        <w:bottom w:val="none" w:sz="0" w:space="0" w:color="auto"/>
        <w:right w:val="none" w:sz="0" w:space="0" w:color="auto"/>
      </w:divBdr>
    </w:div>
    <w:div w:id="779760518">
      <w:bodyDiv w:val="1"/>
      <w:marLeft w:val="0"/>
      <w:marRight w:val="0"/>
      <w:marTop w:val="0"/>
      <w:marBottom w:val="0"/>
      <w:divBdr>
        <w:top w:val="none" w:sz="0" w:space="0" w:color="auto"/>
        <w:left w:val="none" w:sz="0" w:space="0" w:color="auto"/>
        <w:bottom w:val="none" w:sz="0" w:space="0" w:color="auto"/>
        <w:right w:val="none" w:sz="0" w:space="0" w:color="auto"/>
      </w:divBdr>
    </w:div>
    <w:div w:id="1148277518">
      <w:bodyDiv w:val="1"/>
      <w:marLeft w:val="0"/>
      <w:marRight w:val="0"/>
      <w:marTop w:val="0"/>
      <w:marBottom w:val="0"/>
      <w:divBdr>
        <w:top w:val="none" w:sz="0" w:space="0" w:color="auto"/>
        <w:left w:val="none" w:sz="0" w:space="0" w:color="auto"/>
        <w:bottom w:val="none" w:sz="0" w:space="0" w:color="auto"/>
        <w:right w:val="none" w:sz="0" w:space="0" w:color="auto"/>
      </w:divBdr>
    </w:div>
    <w:div w:id="1422330577">
      <w:bodyDiv w:val="1"/>
      <w:marLeft w:val="0"/>
      <w:marRight w:val="0"/>
      <w:marTop w:val="0"/>
      <w:marBottom w:val="0"/>
      <w:divBdr>
        <w:top w:val="none" w:sz="0" w:space="0" w:color="auto"/>
        <w:left w:val="none" w:sz="0" w:space="0" w:color="auto"/>
        <w:bottom w:val="none" w:sz="0" w:space="0" w:color="auto"/>
        <w:right w:val="none" w:sz="0" w:space="0" w:color="auto"/>
      </w:divBdr>
    </w:div>
    <w:div w:id="1497845140">
      <w:bodyDiv w:val="1"/>
      <w:marLeft w:val="0"/>
      <w:marRight w:val="0"/>
      <w:marTop w:val="0"/>
      <w:marBottom w:val="0"/>
      <w:divBdr>
        <w:top w:val="none" w:sz="0" w:space="0" w:color="auto"/>
        <w:left w:val="none" w:sz="0" w:space="0" w:color="auto"/>
        <w:bottom w:val="none" w:sz="0" w:space="0" w:color="auto"/>
        <w:right w:val="none" w:sz="0" w:space="0" w:color="auto"/>
      </w:divBdr>
    </w:div>
    <w:div w:id="1753818932">
      <w:bodyDiv w:val="1"/>
      <w:marLeft w:val="0"/>
      <w:marRight w:val="0"/>
      <w:marTop w:val="0"/>
      <w:marBottom w:val="0"/>
      <w:divBdr>
        <w:top w:val="none" w:sz="0" w:space="0" w:color="auto"/>
        <w:left w:val="none" w:sz="0" w:space="0" w:color="auto"/>
        <w:bottom w:val="none" w:sz="0" w:space="0" w:color="auto"/>
        <w:right w:val="none" w:sz="0" w:space="0" w:color="auto"/>
      </w:divBdr>
    </w:div>
    <w:div w:id="1773476332">
      <w:bodyDiv w:val="1"/>
      <w:marLeft w:val="0"/>
      <w:marRight w:val="0"/>
      <w:marTop w:val="0"/>
      <w:marBottom w:val="0"/>
      <w:divBdr>
        <w:top w:val="none" w:sz="0" w:space="0" w:color="auto"/>
        <w:left w:val="none" w:sz="0" w:space="0" w:color="auto"/>
        <w:bottom w:val="none" w:sz="0" w:space="0" w:color="auto"/>
        <w:right w:val="none" w:sz="0" w:space="0" w:color="auto"/>
      </w:divBdr>
    </w:div>
    <w:div w:id="2037459422">
      <w:bodyDiv w:val="1"/>
      <w:marLeft w:val="0"/>
      <w:marRight w:val="0"/>
      <w:marTop w:val="0"/>
      <w:marBottom w:val="0"/>
      <w:divBdr>
        <w:top w:val="none" w:sz="0" w:space="0" w:color="auto"/>
        <w:left w:val="none" w:sz="0" w:space="0" w:color="auto"/>
        <w:bottom w:val="none" w:sz="0" w:space="0" w:color="auto"/>
        <w:right w:val="none" w:sz="0" w:space="0" w:color="auto"/>
      </w:divBdr>
    </w:div>
    <w:div w:id="2075469059">
      <w:bodyDiv w:val="1"/>
      <w:marLeft w:val="0"/>
      <w:marRight w:val="0"/>
      <w:marTop w:val="0"/>
      <w:marBottom w:val="0"/>
      <w:divBdr>
        <w:top w:val="none" w:sz="0" w:space="0" w:color="auto"/>
        <w:left w:val="none" w:sz="0" w:space="0" w:color="auto"/>
        <w:bottom w:val="none" w:sz="0" w:space="0" w:color="auto"/>
        <w:right w:val="none" w:sz="0" w:space="0" w:color="auto"/>
      </w:divBdr>
    </w:div>
    <w:div w:id="2134253839">
      <w:bodyDiv w:val="1"/>
      <w:marLeft w:val="0"/>
      <w:marRight w:val="0"/>
      <w:marTop w:val="0"/>
      <w:marBottom w:val="0"/>
      <w:divBdr>
        <w:top w:val="none" w:sz="0" w:space="0" w:color="auto"/>
        <w:left w:val="none" w:sz="0" w:space="0" w:color="auto"/>
        <w:bottom w:val="none" w:sz="0" w:space="0" w:color="auto"/>
        <w:right w:val="none" w:sz="0" w:space="0" w:color="auto"/>
      </w:divBdr>
    </w:div>
    <w:div w:id="214565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430</Words>
  <Characters>2457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2024-07-08T05:14:00Z</dcterms:created>
  <dcterms:modified xsi:type="dcterms:W3CDTF">2024-07-08T05:14:00Z</dcterms:modified>
</cp:coreProperties>
</file>