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B2CAD" w:rsidRDefault="001B2CAD" w:rsidP="001B2CA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B2CAD" w:rsidRDefault="00BB6331" w:rsidP="00BB6331">
      <w:pPr>
        <w:rPr>
          <w:rFonts w:hint="eastAsia"/>
        </w:rPr>
      </w:pPr>
    </w:p>
    <w:p w:rsidR="00692716" w:rsidRDefault="00692716" w:rsidP="00692716">
      <w:pPr>
        <w:rPr>
          <w:rFonts w:hint="eastAsia"/>
        </w:rPr>
      </w:pPr>
      <w:r>
        <w:rPr>
          <w:rFonts w:hint="eastAsia"/>
        </w:rPr>
        <w:t>（損失準備金）</w:t>
      </w:r>
    </w:p>
    <w:p w:rsidR="00692716" w:rsidRDefault="00692716" w:rsidP="00D41E27">
      <w:pPr>
        <w:ind w:left="178" w:hangingChars="85" w:hanging="178"/>
        <w:rPr>
          <w:rFonts w:hint="eastAsia"/>
        </w:rPr>
      </w:pPr>
      <w:r>
        <w:rPr>
          <w:rFonts w:hint="eastAsia"/>
        </w:rPr>
        <w:t>第四十九条の四　金融商品取引業者は、内閣府令で定めるところにより、第二十九条の四第一項第四号の政令で定める金額に達するまでは、その金融商品取引業を行うため国内に設けるすべての営業所又は事務所（次項及び次条において「すべての営業所又は事務所」という。）の業務に係る利益の額に十分の一を超えない範囲内で内閣府令で定める率を乗じた額以上の額を、損失準備金としてその国内における主たる営業所又は事務所において積み立てなければならない。</w:t>
      </w:r>
    </w:p>
    <w:p w:rsidR="00BB6331" w:rsidRDefault="00692716" w:rsidP="00D41E27">
      <w:pPr>
        <w:ind w:left="178" w:hangingChars="85" w:hanging="178"/>
        <w:rPr>
          <w:rFonts w:hint="eastAsia"/>
        </w:rPr>
      </w:pPr>
      <w:r>
        <w:rPr>
          <w:rFonts w:hint="eastAsia"/>
        </w:rPr>
        <w:t>２　前項の損失準備金は、内閣総理大臣の承認を受けて当該金融商品取引業者のすべての営業所又は事務所の業務に係る純損失の補てんに充てる場合のほか、使用してはならない。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13D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13D75">
        <w:tab/>
      </w:r>
      <w:r w:rsidR="00813D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13D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13D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13D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13D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13D7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13D75">
        <w:rPr>
          <w:rFonts w:hint="eastAsia"/>
        </w:rPr>
        <w:t>（改正なし）</w:t>
      </w:r>
    </w:p>
    <w:p w:rsidR="00813D75" w:rsidRDefault="00813D75" w:rsidP="00813D7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41E27">
        <w:rPr>
          <w:rFonts w:hint="eastAsia"/>
        </w:rPr>
        <w:tab/>
      </w:r>
      <w:r w:rsidR="00D41E27">
        <w:rPr>
          <w:rFonts w:hint="eastAsia"/>
        </w:rPr>
        <w:t>（改正なし）</w:t>
      </w:r>
    </w:p>
    <w:p w:rsidR="00F0594E" w:rsidRDefault="00BB6331" w:rsidP="00F0594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0594E" w:rsidRDefault="00F0594E" w:rsidP="00F0594E"/>
    <w:p w:rsidR="00F0594E" w:rsidRDefault="00F0594E" w:rsidP="00F0594E">
      <w:r>
        <w:rPr>
          <w:rFonts w:hint="eastAsia"/>
        </w:rPr>
        <w:t>（改正後）</w:t>
      </w:r>
    </w:p>
    <w:p w:rsidR="00F0594E" w:rsidRDefault="00F0594E" w:rsidP="00F0594E">
      <w:pPr>
        <w:rPr>
          <w:rFonts w:hint="eastAsia"/>
        </w:rPr>
      </w:pPr>
      <w:r>
        <w:rPr>
          <w:rFonts w:hint="eastAsia"/>
        </w:rPr>
        <w:t>（損失準備金）</w:t>
      </w:r>
    </w:p>
    <w:p w:rsidR="00F0594E" w:rsidRDefault="00F0594E" w:rsidP="00F0594E">
      <w:pPr>
        <w:ind w:left="178" w:hangingChars="85" w:hanging="178"/>
        <w:rPr>
          <w:rFonts w:hint="eastAsia"/>
        </w:rPr>
      </w:pPr>
      <w:r>
        <w:rPr>
          <w:rFonts w:hint="eastAsia"/>
        </w:rPr>
        <w:t>第四十九条の四　金融商品取引業者は、内閣府令で定めるところにより、第二十九条の四第一項第四号の政令で定める金額に達するまでは、その金融商品取引業を行うため国内に設けるすべての営業所又は事務所（次項及び次条において「すべての営業所又は事務所」という。）の業務に係る利益の額に十分の一を超えない範囲内で内閣府令で定める率を乗じた額以上の額を、損失準備金としてその国内における主たる営業所又は事務所において積み立てなければならない。</w:t>
      </w:r>
    </w:p>
    <w:p w:rsidR="00F0594E" w:rsidRDefault="00F0594E" w:rsidP="00F0594E">
      <w:pPr>
        <w:ind w:left="178" w:hangingChars="85" w:hanging="178"/>
        <w:rPr>
          <w:rFonts w:hint="eastAsia"/>
        </w:rPr>
      </w:pPr>
      <w:r>
        <w:rPr>
          <w:rFonts w:hint="eastAsia"/>
        </w:rPr>
        <w:t>２　前項の損失準備金は、内閣総理大臣の承認を受けて当該金融商品取引業者のすべての</w:t>
      </w:r>
      <w:r>
        <w:rPr>
          <w:rFonts w:hint="eastAsia"/>
        </w:rPr>
        <w:lastRenderedPageBreak/>
        <w:t>営業所又は事務所の業務に係る純損失の補てんに充てる場合のほか、使用してはならない。</w:t>
      </w:r>
    </w:p>
    <w:p w:rsidR="00F0594E" w:rsidRPr="00F0594E" w:rsidRDefault="00F0594E" w:rsidP="00F0594E">
      <w:pPr>
        <w:ind w:left="178" w:hangingChars="85" w:hanging="178"/>
      </w:pPr>
    </w:p>
    <w:p w:rsidR="00F0594E" w:rsidRDefault="00F0594E" w:rsidP="00F0594E">
      <w:pPr>
        <w:ind w:left="178" w:hangingChars="85" w:hanging="178"/>
      </w:pPr>
      <w:r>
        <w:rPr>
          <w:rFonts w:hint="eastAsia"/>
        </w:rPr>
        <w:t>（改正前）</w:t>
      </w:r>
    </w:p>
    <w:p w:rsidR="00F0594E" w:rsidRDefault="00F0594E" w:rsidP="00F0594E">
      <w:pPr>
        <w:rPr>
          <w:u w:val="single" w:color="FF0000"/>
        </w:rPr>
      </w:pPr>
      <w:r>
        <w:rPr>
          <w:rFonts w:hint="eastAsia"/>
          <w:u w:val="single" w:color="FF0000"/>
        </w:rPr>
        <w:t>（新設）</w:t>
      </w:r>
    </w:p>
    <w:p w:rsidR="00F0594E" w:rsidRDefault="00F0594E" w:rsidP="00F0594E"/>
    <w:p w:rsidR="00BB6331" w:rsidRPr="00F0594E" w:rsidRDefault="00BB6331" w:rsidP="00F0594E"/>
    <w:sectPr w:rsidR="00BB6331" w:rsidRPr="00F0594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1D6" w:rsidRDefault="000D61D6">
      <w:r>
        <w:separator/>
      </w:r>
    </w:p>
  </w:endnote>
  <w:endnote w:type="continuationSeparator" w:id="0">
    <w:p w:rsidR="000D61D6" w:rsidRDefault="000D6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95582">
      <w:rPr>
        <w:rStyle w:val="a4"/>
        <w:noProof/>
      </w:rPr>
      <w:t>2</w:t>
    </w:r>
    <w:r>
      <w:rPr>
        <w:rStyle w:val="a4"/>
      </w:rPr>
      <w:fldChar w:fldCharType="end"/>
    </w:r>
  </w:p>
  <w:p w:rsidR="00BB6331" w:rsidRDefault="00D41E2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49</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1D6" w:rsidRDefault="000D61D6">
      <w:r>
        <w:separator/>
      </w:r>
    </w:p>
  </w:footnote>
  <w:footnote w:type="continuationSeparator" w:id="0">
    <w:p w:rsidR="000D61D6" w:rsidRDefault="000D61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6963"/>
    <w:rsid w:val="000D61D6"/>
    <w:rsid w:val="001B2CAD"/>
    <w:rsid w:val="001B7B5C"/>
    <w:rsid w:val="00692716"/>
    <w:rsid w:val="00695582"/>
    <w:rsid w:val="00813D75"/>
    <w:rsid w:val="00A5437B"/>
    <w:rsid w:val="00BB6331"/>
    <w:rsid w:val="00D41E27"/>
    <w:rsid w:val="00D77E30"/>
    <w:rsid w:val="00F059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41E2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392876">
      <w:bodyDiv w:val="1"/>
      <w:marLeft w:val="0"/>
      <w:marRight w:val="0"/>
      <w:marTop w:val="0"/>
      <w:marBottom w:val="0"/>
      <w:divBdr>
        <w:top w:val="none" w:sz="0" w:space="0" w:color="auto"/>
        <w:left w:val="none" w:sz="0" w:space="0" w:color="auto"/>
        <w:bottom w:val="none" w:sz="0" w:space="0" w:color="auto"/>
        <w:right w:val="none" w:sz="0" w:space="0" w:color="auto"/>
      </w:divBdr>
    </w:div>
    <w:div w:id="200960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141</Words>
  <Characters>809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金融商品取引法第49条の4</vt:lpstr>
      <vt:lpstr>金融商品取引法第49条の4</vt:lpstr>
    </vt:vector>
  </TitlesOfParts>
  <Manager/>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金融商品取引法第49条の4</dc:title>
  <dc:subject/>
  <dc:creator/>
  <cp:keywords/>
  <dc:description/>
  <cp:lastModifiedBy/>
  <cp:revision>1</cp:revision>
  <dcterms:created xsi:type="dcterms:W3CDTF">2024-09-04T05:38:00Z</dcterms:created>
  <dcterms:modified xsi:type="dcterms:W3CDTF">2024-09-04T05:38:00Z</dcterms:modified>
</cp:coreProperties>
</file>